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FF7DA8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 xml:space="preserve">Mount Edgecumbe </w:t>
      </w:r>
      <w:r w:rsidR="001E03BB">
        <w:rPr>
          <w:rFonts w:ascii="Calibri" w:hAnsi="Calibri" w:cstheme="majorHAnsi"/>
          <w:b/>
          <w:bCs/>
          <w:sz w:val="32"/>
          <w:szCs w:val="32"/>
        </w:rPr>
        <w:t>High School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7E0EF2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DA8" w:rsidRDefault="00FF7DA8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Incomplete:  Policy lacks one or more key elements</w:t>
                            </w:r>
                          </w:p>
                          <w:p w:rsidR="00FF7DA8" w:rsidRDefault="00FF7DA8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(current score as of 07/03/2012)</w:t>
                            </w:r>
                          </w:p>
                          <w:p w:rsidR="00FF7DA8" w:rsidRDefault="00FF7DA8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FF7DA8" w:rsidRDefault="00FF7DA8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Incomplete:  Policy lacks one or more key elements</w:t>
                      </w:r>
                    </w:p>
                    <w:p w:rsidR="00FF7DA8" w:rsidRDefault="00FF7DA8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(current score as of 07/03/2012)</w:t>
                      </w:r>
                    </w:p>
                    <w:p w:rsidR="00FF7DA8" w:rsidRDefault="00FF7DA8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182F2C" w:rsidRPr="00774D4F" w:rsidRDefault="00182F2C" w:rsidP="007E0E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bookmarkStart w:id="0" w:name="_GoBack"/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bookmarkEnd w:id="0"/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1E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1E0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1E03BB" w:rsidRDefault="00182F2C" w:rsidP="001E03BB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1E03BB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7E0EF2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29210" r="33020" b="431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FF7DA8" w:rsidRPr="00417AA6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Gold star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FF7DA8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FF7DA8" w:rsidRDefault="00FF7DA8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FF7DA8" w:rsidRPr="00153E80" w:rsidRDefault="00FF7DA8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FF7DA8" w:rsidRPr="00D15F5B" w:rsidRDefault="00FF7DA8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FF7DA8" w:rsidRPr="00774D4F" w:rsidRDefault="00FF7DA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FF7DA8" w:rsidRDefault="00FF7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FF7DA8" w:rsidRPr="00417AA6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Gold star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FF7DA8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FF7DA8" w:rsidRDefault="00FF7DA8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FF7DA8" w:rsidRPr="00153E80" w:rsidRDefault="00FF7DA8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FF7DA8" w:rsidRPr="00D15F5B" w:rsidRDefault="00FF7DA8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FF7DA8" w:rsidRPr="00774D4F" w:rsidRDefault="00FF7DA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FF7DA8" w:rsidRDefault="00FF7DA8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8" w:rsidRDefault="00FF7DA8" w:rsidP="001F2370">
      <w:pPr>
        <w:spacing w:after="0" w:line="240" w:lineRule="auto"/>
      </w:pPr>
      <w:r>
        <w:separator/>
      </w:r>
    </w:p>
  </w:endnote>
  <w:endnote w:type="continuationSeparator" w:id="0">
    <w:p w:rsidR="00FF7DA8" w:rsidRDefault="00FF7DA8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F7DA8" w:rsidRDefault="00FF7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0EF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0EF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7DA8" w:rsidRDefault="00FF7DA8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8" w:rsidRDefault="00FF7DA8" w:rsidP="001F2370">
      <w:pPr>
        <w:spacing w:after="0" w:line="240" w:lineRule="auto"/>
      </w:pPr>
      <w:r>
        <w:separator/>
      </w:r>
    </w:p>
  </w:footnote>
  <w:footnote w:type="continuationSeparator" w:id="0">
    <w:p w:rsidR="00FF7DA8" w:rsidRDefault="00FF7DA8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B3B"/>
    <w:multiLevelType w:val="hybridMultilevel"/>
    <w:tmpl w:val="5E48816C"/>
    <w:lvl w:ilvl="0" w:tplc="ED4AC3C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46FB"/>
    <w:multiLevelType w:val="hybridMultilevel"/>
    <w:tmpl w:val="FEDCC2A8"/>
    <w:lvl w:ilvl="0" w:tplc="5FFEE70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77F"/>
    <w:multiLevelType w:val="hybridMultilevel"/>
    <w:tmpl w:val="5BE6EBB2"/>
    <w:lvl w:ilvl="0" w:tplc="26060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2BE0"/>
    <w:multiLevelType w:val="multilevel"/>
    <w:tmpl w:val="5E48816C"/>
    <w:lvl w:ilvl="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C4235"/>
    <w:rsid w:val="00117DD9"/>
    <w:rsid w:val="00153E80"/>
    <w:rsid w:val="00160640"/>
    <w:rsid w:val="00182F2C"/>
    <w:rsid w:val="001E03BB"/>
    <w:rsid w:val="001F2370"/>
    <w:rsid w:val="00305354"/>
    <w:rsid w:val="00417AA6"/>
    <w:rsid w:val="00466058"/>
    <w:rsid w:val="004F2947"/>
    <w:rsid w:val="0058373F"/>
    <w:rsid w:val="005C70FD"/>
    <w:rsid w:val="006F73C0"/>
    <w:rsid w:val="007A6C52"/>
    <w:rsid w:val="007E0EF2"/>
    <w:rsid w:val="00C624CC"/>
    <w:rsid w:val="00CB318F"/>
    <w:rsid w:val="00CC48DC"/>
    <w:rsid w:val="00D15F5B"/>
    <w:rsid w:val="00E27AF8"/>
    <w:rsid w:val="00E84814"/>
    <w:rsid w:val="00F10220"/>
    <w:rsid w:val="00F7425E"/>
    <w:rsid w:val="00F94104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2012-07-19T22:24:00Z</dcterms:created>
  <dcterms:modified xsi:type="dcterms:W3CDTF">2012-07-19T22:24:00Z</dcterms:modified>
</cp:coreProperties>
</file>